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="0"/>
        <w:contextualSpacing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ОБЩЕСТВО С ОГРАНИЧЕННОЙ ОТВЕТСТВЕННОСТЬЮ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«СПЕЦОБСЛУЖИВАНИЕ - ЦЕНТРАЛЬНОЕ»</w:t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Web"/>
        <w:spacing w:beforeAutospacing="0" w:before="0" w:after="0"/>
        <w:contextualSpacing/>
        <w:jc w:val="center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Style w:val="a7"/>
        <w:tblW w:w="5000" w:type="pct"/>
        <w:jc w:val="left"/>
        <w:tblInd w:w="0" w:type="dxa"/>
        <w:tblCellMar>
          <w:top w:w="0" w:type="dxa"/>
          <w:left w:w="118" w:type="dxa"/>
          <w:bottom w:w="0" w:type="dxa"/>
          <w:right w:w="108" w:type="dxa"/>
        </w:tblCellMar>
        <w:tblLook w:val="04a0"/>
      </w:tblPr>
      <w:tblGrid>
        <w:gridCol w:w="2856"/>
        <w:gridCol w:w="7631"/>
      </w:tblGrid>
      <w:tr>
        <w:trPr/>
        <w:tc>
          <w:tcPr>
            <w:tcW w:w="2856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76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ind w:left="152" w:hanging="0"/>
              <w:contextualSpacing/>
              <w:jc w:val="center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</w:tr>
      <w:tr>
        <w:trPr>
          <w:trHeight w:val="1787" w:hRule="atLeast"/>
        </w:trPr>
        <w:tc>
          <w:tcPr>
            <w:tcW w:w="2856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Web"/>
              <w:spacing w:lineRule="auto" w:line="240" w:beforeAutospacing="0" w:before="0" w:after="0"/>
              <w:contextualSpacing/>
              <w:jc w:val="center"/>
              <w:rPr/>
            </w:pPr>
            <w:r>
              <w:rPr/>
              <w:drawing>
                <wp:inline distT="0" distB="0" distL="0" distR="0">
                  <wp:extent cx="970280" cy="971550"/>
                  <wp:effectExtent l="0" t="0" r="0" b="0"/>
                  <wp:docPr id="1" name="Рисунок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0280" cy="971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1" w:type="dxa"/>
            <w:tcBorders>
              <w:top w:val="single" w:sz="36" w:space="0" w:color="000000"/>
              <w:left w:val="nil"/>
              <w:bottom w:val="single" w:sz="36" w:space="0" w:color="000000"/>
              <w:right w:val="nil"/>
              <w:insideH w:val="single" w:sz="36" w:space="0" w:color="000000"/>
              <w:insideV w:val="nil"/>
            </w:tcBorders>
            <w:shd w:fill="auto" w:val="clear"/>
            <w:vAlign w:val="center"/>
          </w:tcPr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659328, Алтайский край, г. Бийск, пер. Спичечный 5, оф. 3</w:t>
            </w:r>
          </w:p>
          <w:p>
            <w:pPr>
              <w:pStyle w:val="Style21"/>
              <w:jc w:val="center"/>
              <w:rPr/>
            </w:pPr>
            <w:r>
              <w:rPr>
                <w:b/>
                <w:bCs/>
                <w:i/>
                <w:iCs/>
                <w:lang w:val="ru-RU"/>
              </w:rPr>
              <w:t>тел.</w:t>
            </w:r>
            <w:r>
              <w:rPr>
                <w:b/>
                <w:bCs/>
                <w:i/>
                <w:iCs/>
                <w:u w:val="single"/>
                <w:lang w:val="ru-RU"/>
              </w:rPr>
              <w:t xml:space="preserve">8(3854)999-019 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e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>-</w:t>
            </w:r>
            <w:r>
              <w:rPr>
                <w:b/>
                <w:bCs/>
                <w:i/>
                <w:iCs/>
                <w:color w:val="000000"/>
                <w:lang w:val="en-US"/>
              </w:rPr>
              <w:t>mail</w:t>
            </w:r>
            <w:r>
              <w:rPr>
                <w:b/>
                <w:bCs/>
                <w:i/>
                <w:iCs/>
                <w:color w:val="000000"/>
                <w:lang w:val="ru-RU"/>
              </w:rPr>
              <w:t xml:space="preserve">: </w:t>
            </w:r>
            <w:hyperlink r:id="rId3">
              <w:r>
                <w:rPr>
                  <w:rStyle w:val="Style14"/>
                  <w:b/>
                  <w:bCs/>
                  <w:i/>
                  <w:iCs/>
                  <w:lang w:val="en-US"/>
                </w:rPr>
                <w:t>info</w:t>
              </w:r>
            </w:hyperlink>
            <w:hyperlink r:id="rId4">
              <w:r>
                <w:rPr>
                  <w:rStyle w:val="Style14"/>
                  <w:b/>
                  <w:bCs/>
                  <w:i/>
                  <w:iCs/>
                </w:rPr>
                <w:t>@spo-center.ru</w:t>
              </w:r>
            </w:hyperlink>
          </w:p>
          <w:p>
            <w:pPr>
              <w:pStyle w:val="Style21"/>
              <w:jc w:val="center"/>
              <w:rPr/>
            </w:pPr>
            <w:r>
              <w:rPr>
                <w:lang w:val="ru-RU"/>
              </w:rPr>
              <w:t>ОГРН 1152204003995   ИНН/КПП 2204076611/220401001</w:t>
            </w:r>
          </w:p>
          <w:p>
            <w:pPr>
              <w:pStyle w:val="Normal"/>
              <w:jc w:val="center"/>
              <w:rPr/>
            </w:pPr>
            <w:r>
              <w:rPr>
                <w:lang w:val="ru-RU"/>
              </w:rPr>
              <w:t xml:space="preserve">Р/сч 40702810517140009586   К/с 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30101810145250000411  </w:t>
            </w:r>
            <w:r>
              <w:rPr>
                <w:lang w:val="ru-RU"/>
              </w:rPr>
              <w:t xml:space="preserve">    </w:t>
            </w:r>
          </w:p>
          <w:p>
            <w:pPr>
              <w:pStyle w:val="Style21"/>
              <w:spacing w:lineRule="auto" w:line="240" w:beforeAutospacing="0" w:before="0" w:after="0"/>
              <w:ind w:left="152" w:hanging="0"/>
              <w:contextualSpacing/>
              <w:jc w:val="center"/>
              <w:rPr/>
            </w:pPr>
            <w:r>
              <w:rPr>
                <w:lang w:val="ru-RU"/>
              </w:rPr>
              <w:t xml:space="preserve">БИК </w:t>
            </w:r>
            <w:r>
              <w:rPr>
                <w:b w:val="false"/>
                <w:bCs w:val="false"/>
                <w:sz w:val="24"/>
                <w:szCs w:val="24"/>
                <w:lang w:val="en-US"/>
              </w:rPr>
              <w:t>044525411</w:t>
            </w:r>
            <w:r>
              <w:rPr>
                <w:b w:val="false"/>
                <w:bCs w:val="false"/>
                <w:sz w:val="24"/>
                <w:szCs w:val="24"/>
                <w:lang w:val="ru-RU"/>
              </w:rPr>
              <w:t xml:space="preserve"> </w:t>
            </w:r>
            <w:r>
              <w:rPr>
                <w:lang w:val="ru-RU"/>
              </w:rPr>
              <w:t xml:space="preserve"> Филиал «Центральный» Банка ВТБ (ПАО) в г. Москве</w:t>
            </w:r>
          </w:p>
          <w:p>
            <w:pPr>
              <w:pStyle w:val="NormalWeb"/>
              <w:spacing w:lineRule="auto" w:line="240" w:beforeAutospacing="0" w:before="0" w:after="0"/>
              <w:ind w:left="152" w:hanging="0"/>
              <w:contextualSpacing/>
              <w:jc w:val="center"/>
              <w:rPr/>
            </w:pPr>
            <w:r>
              <w:rPr/>
            </w:r>
          </w:p>
        </w:tc>
      </w:tr>
    </w:tbl>
    <w:p>
      <w:pPr>
        <w:pStyle w:val="NormalWeb"/>
        <w:spacing w:beforeAutospacing="0" w:before="0" w:after="0"/>
        <w:contextualSpacing/>
        <w:rPr>
          <w:b/>
          <w:b/>
        </w:rPr>
      </w:pPr>
      <w:r>
        <w:rPr>
          <w:b/>
        </w:rPr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Приглашение для заключения договора</w:t>
      </w:r>
    </w:p>
    <w:p>
      <w:pPr>
        <w:pStyle w:val="NormalWeb"/>
        <w:spacing w:beforeAutospacing="0" w:before="0" w:after="0"/>
        <w:contextualSpacing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>на оказание услуг по обращению с твердыми коммунальными отходами</w:t>
      </w:r>
    </w:p>
    <w:p>
      <w:pPr>
        <w:pStyle w:val="NormalWeb"/>
        <w:spacing w:beforeAutospacing="0" w:before="0" w:after="0"/>
        <w:ind w:left="2835" w:hanging="0"/>
        <w:contextualSpacing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Между Министерством строительства, транспорта, жилищно-коммунального хозяйства Алтайского края и ООО «Спецобслуживание – Центральное», по результатам проведенного конкурсного отбора Региональных операторов по обращению с твердыми коммунальными отходами (далее – ТКО), 23.05.2018 г. подписано соглашение об организации деятельности по обращению с ТКО на территории Алтайского края по Бийской зоне, в соответствии с которым, ООО «Спецобслуживание – Центральное» наделено статусом Регионального оператора по обращению с ТКО (далее – региональный оператор).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Региональный оператор приступает к исполнению обязательств по соглашению не ранее дня утверждения единого тарифа на услуги Регионального оператора. Тариф подлежит утверждению управлением Алтайского края по государственному регулированию цен и тарифов.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Статус регионального оператора присвоен ООО «Спецобслуживание – Центральное» на три года. Дата начала обращения с ТКО региональным оператором не позднее 01.01.2019 г.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>Информирование потребителей о начале работы в населенных пунктах Бийской зоны осуществляется путем размещения информации по адресу: https://spo-center.ru/naselyonnyie-punktyi-obsluzhivaemyie-regoperatorom/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Информирование потребителей о едином тарифе на услугу регионального оператора осуществляется путем размещения публикаций в средствах массовой информации, на официальном сайте управления Алтайского края по государственному регулированию цен и тарифов, а так же на сайте Регионального оператора, адрес: </w:t>
      </w:r>
      <w:hyperlink r:id="rId5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со ст. 24.7 Федерального закона от 24.06.1998 № 89 – ФЗ «Об отходах производства и потребления, ст. 30 Жилищного кодекса Российской Федерации, собственники твердых коммунальных отходов (физические лица, юридические лица, индивидуальные предприниматели), обязаны заключить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сбора.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Кроме того, в соответствии со ст. 154 Жилищного кодекса Российской Федерации, ст. 12 Федерального закона от 29.06.2015 № 176 – ФЗ «О внесении изменений в Жилищный кодекс Российской Федерации и отдельные законодательные акты Российской Федерации» плата за обращение с твердыми коммунальными отходами является коммунальной услугой, и подлежит внесению на счет Регионального оператора при наличии утвержденного единого тарифа.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соответствии с Порядком заключения договора на оказание услуг по обращению с твердыми коммунальными отходами (Постановление Правительства РФ от 12.11.2016 № 1156 (ред. От 15.09.2018)), основанием для заключения договора на оказание услуг по обращению с ТКО является заявка потребителя или его законного представителя в письменной форме.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В случае, если потребитель не направил региональному оператору заявку потребителя и документы в соответствии с п. 8(5) – 8(7) Правил в указанный срок, договор на оказание услуг по обращению с твердыми коммунальными отходами считается заключенным на условиях типового договора и вступившим в силу на 16-й рабочий день после размещения региональным оператором предложения о заключении указанного договора на своем официальном сайте в информационно-телекоммуникационной сети «Интернет».</w:t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Форма договора, и порядок  его заключения, доступны на официальном сайте Регионального оператора в сети «интернет» </w:t>
      </w:r>
      <w:hyperlink r:id="rId6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>
          <w:sz w:val="22"/>
          <w:szCs w:val="22"/>
        </w:rPr>
        <w:t xml:space="preserve">По вопросам заключения договора можно обратиться по адресу: 659302, Алтайский край, г. Бийск, пер. Спичечный, 5, офис 3. Телефон абонентского отдела: 8 (3854) 99-90-19;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 xml:space="preserve">: </w:t>
      </w:r>
      <w:r>
        <w:rPr>
          <w:color w:val="auto"/>
          <w:sz w:val="22"/>
          <w:szCs w:val="22"/>
          <w:lang w:val="en-US"/>
        </w:rPr>
        <w:t>abon.biysk@spo-center.ru</w:t>
      </w:r>
      <w:r>
        <w:rPr>
          <w:sz w:val="22"/>
          <w:szCs w:val="22"/>
        </w:rPr>
        <w:t xml:space="preserve">; через форму обратной связи на сайте Регионального оператора </w:t>
      </w:r>
      <w:hyperlink r:id="rId7">
        <w:r>
          <w:rPr>
            <w:rStyle w:val="ListLabel2"/>
            <w:color w:val="auto"/>
            <w:sz w:val="22"/>
            <w:szCs w:val="22"/>
            <w:lang w:val="en-US"/>
          </w:rPr>
          <w:t>http</w:t>
        </w:r>
        <w:r>
          <w:rPr>
            <w:rStyle w:val="ListLabel2"/>
            <w:color w:val="auto"/>
            <w:sz w:val="22"/>
            <w:szCs w:val="22"/>
          </w:rPr>
          <w:t>://</w:t>
        </w:r>
        <w:r>
          <w:rPr>
            <w:rStyle w:val="ListLabel2"/>
            <w:color w:val="auto"/>
            <w:sz w:val="22"/>
            <w:szCs w:val="22"/>
            <w:lang w:val="en-US"/>
          </w:rPr>
          <w:t>spo</w:t>
        </w:r>
        <w:r>
          <w:rPr>
            <w:rStyle w:val="ListLabel2"/>
            <w:color w:val="auto"/>
            <w:sz w:val="22"/>
            <w:szCs w:val="22"/>
          </w:rPr>
          <w:t>-</w:t>
        </w:r>
        <w:r>
          <w:rPr>
            <w:rStyle w:val="ListLabel2"/>
            <w:color w:val="auto"/>
            <w:sz w:val="22"/>
            <w:szCs w:val="22"/>
            <w:lang w:val="en-US"/>
          </w:rPr>
          <w:t>center</w:t>
        </w:r>
        <w:r>
          <w:rPr>
            <w:rStyle w:val="ListLabel2"/>
            <w:color w:val="auto"/>
            <w:sz w:val="22"/>
            <w:szCs w:val="22"/>
          </w:rPr>
          <w:t>.</w:t>
        </w:r>
        <w:r>
          <w:rPr>
            <w:rStyle w:val="ListLabel2"/>
            <w:color w:val="auto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>.</w:t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Web"/>
        <w:spacing w:beforeAutospacing="0" w:before="0" w:after="0"/>
        <w:ind w:firstLine="567"/>
        <w:contextualSpacing/>
        <w:jc w:val="both"/>
        <w:rPr/>
      </w:pPr>
      <w:r>
        <w:rPr/>
      </w:r>
    </w:p>
    <w:sectPr>
      <w:type w:val="nextPage"/>
      <w:pgSz w:w="11906" w:h="16838"/>
      <w:pgMar w:left="851" w:right="567" w:header="0" w:top="426" w:footer="0" w:bottom="5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ourier New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06dc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440e1"/>
    <w:rPr>
      <w:color w:val="000080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e440e1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b/>
      <w:bCs/>
      <w:i/>
      <w:iCs/>
    </w:rPr>
  </w:style>
  <w:style w:type="character" w:styleId="ListLabel2">
    <w:name w:val="ListLabel 2"/>
    <w:qFormat/>
    <w:rPr>
      <w:color w:val="auto"/>
      <w:sz w:val="22"/>
      <w:szCs w:val="22"/>
      <w:lang w:val="en-US"/>
    </w:rPr>
  </w:style>
  <w:style w:type="character" w:styleId="ListLabel3">
    <w:name w:val="ListLabel 3"/>
    <w:qFormat/>
    <w:rPr>
      <w:color w:val="auto"/>
      <w:sz w:val="22"/>
      <w:szCs w:val="22"/>
    </w:rPr>
  </w:style>
  <w:style w:type="character" w:styleId="ListLabel4">
    <w:name w:val="ListLabel 4"/>
    <w:qFormat/>
    <w:rPr>
      <w:b/>
      <w:bCs/>
      <w:i/>
      <w:iCs/>
    </w:rPr>
  </w:style>
  <w:style w:type="character" w:styleId="ListLabel5">
    <w:name w:val="ListLabel 5"/>
    <w:qFormat/>
    <w:rPr>
      <w:color w:val="auto"/>
      <w:sz w:val="22"/>
      <w:szCs w:val="22"/>
      <w:lang w:val="en-US"/>
    </w:rPr>
  </w:style>
  <w:style w:type="character" w:styleId="ListLabel6">
    <w:name w:val="ListLabel 6"/>
    <w:qFormat/>
    <w:rPr>
      <w:color w:val="auto"/>
      <w:sz w:val="22"/>
      <w:szCs w:val="22"/>
    </w:rPr>
  </w:style>
  <w:style w:type="character" w:styleId="ListLabel27">
    <w:name w:val="ListLabel 27"/>
    <w:qFormat/>
    <w:rPr>
      <w:b/>
      <w:bCs/>
      <w:i/>
      <w:iCs/>
      <w:lang w:val="en-US"/>
    </w:rPr>
  </w:style>
  <w:style w:type="character" w:styleId="ListLabel28">
    <w:name w:val="ListLabel 28"/>
    <w:qFormat/>
    <w:rPr>
      <w:b/>
      <w:bCs/>
      <w:i/>
      <w:iCs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semiHidden/>
    <w:unhideWhenUsed/>
    <w:qFormat/>
    <w:rsid w:val="00e440e1"/>
    <w:pPr>
      <w:spacing w:lineRule="auto" w:line="240" w:beforeAutospacing="1" w:after="119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e440e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kern w:val="0"/>
      <w:sz w:val="24"/>
      <w:szCs w:val="24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b93700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e440e1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yperlink" Target="mailto:info@spo-center.ru" TargetMode="External"/><Relationship Id="rId4" Type="http://schemas.openxmlformats.org/officeDocument/2006/relationships/hyperlink" Target="mailto:info@spo-center.ru" TargetMode="External"/><Relationship Id="rId5" Type="http://schemas.openxmlformats.org/officeDocument/2006/relationships/hyperlink" Target="http://spo-center.ru/" TargetMode="External"/><Relationship Id="rId6" Type="http://schemas.openxmlformats.org/officeDocument/2006/relationships/hyperlink" Target="http://spo-center.ru/" TargetMode="External"/><Relationship Id="rId7" Type="http://schemas.openxmlformats.org/officeDocument/2006/relationships/hyperlink" Target="http://spo-center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Application>LibreOffice/6.1.3.2$Windows_X86_64 LibreOffice_project/86daf60bf00efa86ad547e59e09d6bb77c699acb</Application>
  <Pages>2</Pages>
  <Words>497</Words>
  <Characters>3587</Characters>
  <CharactersWithSpaces>4086</CharactersWithSpaces>
  <Paragraphs>21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2018-10-26T06:40:00Z</dcterms:created>
  <dc:creator>Админ</dc:creator>
  <dc:description/>
  <dc:language>ru-RU</dc:language>
  <cp:lastModifiedBy/>
  <cp:lastPrinted>2018-10-23T06:13:00Z</cp:lastPrinted>
  <dcterms:modified xsi:type="dcterms:W3CDTF">2021-04-13T16:39:48Z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