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 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Российской Федерации от 12 ноября 2016 г.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№  1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5103" w:type="dxa"/>
            <w:tcBorders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____.____._________ г.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Общество с ограниченной ответственностью «Спецобслуживание – Центральное», именуемое в дальнейшем </w:t>
      </w:r>
      <w:r>
        <w:rPr>
          <w:rFonts w:eastAsia="Times New Roman" w:cs="Times New Roman" w:ascii="Times New Roman" w:hAnsi="Times New Roman"/>
          <w:b/>
          <w:bCs/>
          <w:color w:val="222222"/>
          <w:sz w:val="20"/>
          <w:szCs w:val="20"/>
          <w:lang w:eastAsia="ru-RU"/>
        </w:rPr>
        <w:t>региональным оператором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Бийск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е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ru-RU"/>
        </w:rPr>
        <w:t>потребителем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паспорт: серия _______, №_______________, выдан: ____.____.________, ___________________________________________ __________________________________, код: _____________________,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_____________________________________________,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Дата начала оказания услуг по обращению с твердыми коммунальными отходами 01.11.2018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утвержденных норм накопления твердых коммунальных отходов (298,55 руб. За 1 куб. м., с учетом НДС (на дату начала оказания услуг)*0,121 куб. м. на 1 проживающего (норматив накопления твёрдых коммунальных отходов на территории Алтайского края для потребителей услуги по обращению с отходами, за исключением г. Барнаула).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пункт 148 (36) Правил предоставления коммунальных услуг собственникам и пользователям помещений в многоквартирных домах и жилых домов утв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  <w:lang w:val="ru-RU"/>
        </w:rPr>
        <w:t>ержденных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Постановлением Правительства РФ от 06.05.2011 № 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color w:val="auto"/>
            <w:sz w:val="20"/>
            <w:szCs w:val="20"/>
            <w:u w:val="none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10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r>
        <w:rPr>
          <w:rStyle w:val="Style14"/>
          <w:color w:val="auto"/>
          <w:sz w:val="20"/>
          <w:szCs w:val="20"/>
          <w:u w:val="none"/>
        </w:rPr>
        <w:t xml:space="preserve">приложении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 июня 2016 г. </w:t>
      </w:r>
      <w:r>
        <w:rPr>
          <w:color w:val="auto"/>
          <w:sz w:val="20"/>
          <w:szCs w:val="20"/>
        </w:rPr>
        <w:t>№ </w:t>
      </w:r>
      <w:r>
        <w:rPr>
          <w:color w:val="auto"/>
          <w:sz w:val="20"/>
          <w:szCs w:val="20"/>
        </w:rPr>
        <w:t>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не допускать складирования в контейнерах (объемом до 1,1 куб. 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</w:rPr>
        <w:t>14.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 июня 2016 г. </w:t>
      </w:r>
      <w:r>
        <w:rPr>
          <w:rFonts w:ascii="Times New Roman" w:hAnsi="Times New Roman"/>
          <w:color w:val="auto"/>
          <w:sz w:val="20"/>
          <w:szCs w:val="20"/>
        </w:rPr>
        <w:t>№ </w:t>
      </w:r>
      <w:r>
        <w:rPr>
          <w:rFonts w:ascii="Times New Roman" w:hAnsi="Times New Roman"/>
          <w:color w:val="auto"/>
          <w:sz w:val="20"/>
          <w:szCs w:val="20"/>
        </w:rPr>
        <w:t>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19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/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/>
      </w:pPr>
      <w:r>
        <w:rPr>
          <w:rFonts w:ascii="Times New Roman" w:hAnsi="Times New Roman"/>
          <w:color w:val="auto"/>
          <w:sz w:val="20"/>
          <w:szCs w:val="20"/>
          <w:lang w:val="en-US"/>
        </w:rPr>
        <w:t>29</w:t>
      </w:r>
      <w:r>
        <w:rPr>
          <w:rFonts w:ascii="Times New Roman" w:hAnsi="Times New Roman"/>
          <w:color w:val="auto"/>
          <w:sz w:val="20"/>
          <w:szCs w:val="20"/>
        </w:rPr>
        <w:t>. Настоящий договор заключается на срок ________________ до 22.05.2021 г. 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Приложение </w:t>
      </w:r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 xml:space="preserve">5, оф. 3, 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-mail: </w:t>
            </w:r>
            <w:hyperlink r:id="rId4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5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6">
              <w:r>
                <w:rPr/>
                <w:t>://</w:t>
              </w:r>
            </w:hyperlink>
            <w:hyperlink r:id="rId7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8">
              <w:r>
                <w:rPr/>
                <w:t>-</w:t>
              </w:r>
            </w:hyperlink>
            <w:hyperlink r:id="rId9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0">
              <w:r>
                <w:rPr/>
                <w:t>.</w:t>
              </w:r>
            </w:hyperlink>
            <w:hyperlink r:id="rId11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</w:t>
            </w:r>
            <w:r>
              <w:rPr>
                <w:color w:val="auto"/>
                <w:sz w:val="20"/>
                <w:szCs w:val="20"/>
              </w:rPr>
              <w:t>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</w:t>
            </w:r>
            <w:r>
              <w:rPr>
                <w:color w:val="auto"/>
                <w:sz w:val="20"/>
                <w:szCs w:val="20"/>
              </w:rPr>
              <w:t>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ентральный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"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банка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ВТБ (ПАО)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г. Москва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2">
              <w:r>
                <w:rPr>
                  <w:color w:val="auto"/>
                  <w:sz w:val="20"/>
                  <w:szCs w:val="20"/>
                </w:rPr>
                <w:t>abon.biysk@spo-center.ru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/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ОТРЕБИТЕЛЬ:</w:t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№ 1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вердыми 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-2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402"/>
        <w:gridCol w:w="1808"/>
        <w:gridCol w:w="1882"/>
        <w:gridCol w:w="1880"/>
        <w:gridCol w:w="2350"/>
        <w:gridCol w:w="1922"/>
      </w:tblGrid>
      <w:tr>
        <w:trPr>
          <w:trHeight w:val="1477" w:hRule="atLeast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-mail: </w:t>
            </w:r>
            <w:hyperlink r:id="rId13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14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15">
              <w:r>
                <w:rPr/>
                <w:t>://</w:t>
              </w:r>
            </w:hyperlink>
            <w:hyperlink r:id="rId16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17">
              <w:r>
                <w:rPr/>
                <w:t>-</w:t>
              </w:r>
            </w:hyperlink>
            <w:hyperlink r:id="rId18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9">
              <w:r>
                <w:rPr/>
                <w:t>.</w:t>
              </w:r>
            </w:hyperlink>
            <w:hyperlink r:id="rId20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</w:t>
            </w:r>
            <w:r>
              <w:rPr>
                <w:color w:val="auto"/>
                <w:sz w:val="20"/>
                <w:szCs w:val="20"/>
              </w:rPr>
              <w:t>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</w:t>
            </w:r>
            <w:r>
              <w:rPr>
                <w:color w:val="auto"/>
                <w:sz w:val="20"/>
                <w:szCs w:val="20"/>
              </w:rPr>
              <w:t>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ентральный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"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банка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ВТБ (ПАО)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г. Москва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21">
              <w:r>
                <w:rPr>
                  <w:color w:val="auto"/>
                  <w:sz w:val="20"/>
                  <w:szCs w:val="20"/>
                </w:rPr>
                <w:t>abon.biysk@spo-center.ru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/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ОТРЕБИТЕЛЬ: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hang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/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№ 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на оказание услуг по обращению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с твердыми 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-20" w:type="dxa"/>
        <w:tblLayout w:type="fixed"/>
        <w:tblCellMar>
          <w:top w:w="0" w:type="dxa"/>
          <w:left w:w="10" w:type="dxa"/>
          <w:bottom w:w="0" w:type="dxa"/>
          <w:right w:w="0" w:type="dxa"/>
        </w:tblCellMar>
      </w:tblPr>
      <w:tblGrid>
        <w:gridCol w:w="270"/>
        <w:gridCol w:w="3416"/>
        <w:gridCol w:w="1639"/>
        <w:gridCol w:w="2496"/>
        <w:gridCol w:w="2424"/>
      </w:tblGrid>
      <w:tr>
        <w:trPr/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рописки</w:t>
            </w:r>
          </w:p>
        </w:tc>
      </w:tr>
      <w:tr>
        <w:trPr>
          <w:trHeight w:val="3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1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639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Юридический и почтовый адрес: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659328,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5, оф. 3,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ел. 8(3854) 999-019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>E</w:t>
            </w:r>
            <w:r>
              <w:rPr>
                <w:rStyle w:val="Style14"/>
                <w:color w:val="auto"/>
                <w:sz w:val="20"/>
                <w:szCs w:val="20"/>
                <w:u w:val="none"/>
                <w:lang w:val="en-US"/>
              </w:rPr>
              <w:t xml:space="preserve">-mail: </w:t>
            </w:r>
            <w:hyperlink r:id="rId22">
              <w:r>
                <w:rPr>
                  <w:color w:val="auto"/>
                  <w:sz w:val="20"/>
                  <w:szCs w:val="20"/>
                  <w:lang w:val="en-US"/>
                </w:rPr>
                <w:t>info@spo-center.ru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rStyle w:val="Style14"/>
                <w:color w:val="auto"/>
                <w:sz w:val="20"/>
                <w:szCs w:val="20"/>
                <w:u w:val="none"/>
                <w:lang w:val="ru-RU"/>
              </w:rPr>
              <w:t xml:space="preserve">Сайт: </w:t>
            </w:r>
            <w:hyperlink r:id="rId23">
              <w:r>
                <w:rPr>
                  <w:color w:val="auto"/>
                  <w:sz w:val="20"/>
                  <w:szCs w:val="20"/>
                  <w:lang w:val="ru-RU"/>
                </w:rPr>
                <w:t>http</w:t>
              </w:r>
            </w:hyperlink>
            <w:hyperlink r:id="rId24">
              <w:r>
                <w:rPr/>
                <w:t>://</w:t>
              </w:r>
            </w:hyperlink>
            <w:hyperlink r:id="rId25">
              <w:r>
                <w:rPr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6">
              <w:r>
                <w:rPr/>
                <w:t>-</w:t>
              </w:r>
            </w:hyperlink>
            <w:hyperlink r:id="rId27">
              <w:r>
                <w:rPr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28">
              <w:r>
                <w:rPr/>
                <w:t>.</w:t>
              </w:r>
            </w:hyperlink>
            <w:hyperlink r:id="rId29">
              <w:r>
                <w:rPr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Р/сч 40702810517140009586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</w:t>
            </w:r>
            <w:r>
              <w:rPr>
                <w:color w:val="auto"/>
                <w:sz w:val="20"/>
                <w:szCs w:val="20"/>
              </w:rPr>
              <w:t>30101810145250000411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</w:t>
            </w:r>
            <w:r>
              <w:rPr>
                <w:color w:val="auto"/>
                <w:sz w:val="20"/>
                <w:szCs w:val="20"/>
              </w:rPr>
              <w:t>044525411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Ф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ru-RU"/>
              </w:rPr>
              <w:t>илиал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"Ц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ентральный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"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банка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 xml:space="preserve"> ВТБ (ПАО) </w:t>
            </w:r>
            <w:r>
              <w:rPr>
                <w:rStyle w:val="Style14"/>
                <w:color w:val="000000"/>
                <w:sz w:val="20"/>
                <w:szCs w:val="20"/>
                <w:u w:val="none"/>
                <w:shd w:fill="auto" w:val="clear"/>
                <w:lang w:val="en-US"/>
              </w:rPr>
              <w:t>г. Москва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Офис по работе с физ. лицами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Адрес: 659302, Алтайский край, г. Бийск,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</w:t>
            </w:r>
            <w:r>
              <w:rPr>
                <w:color w:val="auto"/>
                <w:sz w:val="20"/>
                <w:szCs w:val="20"/>
              </w:rPr>
              <w:t xml:space="preserve">д. </w:t>
            </w:r>
            <w:r>
              <w:rPr>
                <w:color w:val="auto"/>
                <w:sz w:val="20"/>
                <w:szCs w:val="20"/>
              </w:rPr>
              <w:t>5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8(3854)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99-90-18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30">
              <w:r>
                <w:rPr>
                  <w:color w:val="auto"/>
                  <w:sz w:val="20"/>
                  <w:szCs w:val="20"/>
                </w:rPr>
                <w:t>abon.biysk@spo-center.ru</w:t>
              </w:r>
            </w:hyperlink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Style w:val="Style14"/>
                <w:color w:val="auto"/>
                <w:sz w:val="20"/>
                <w:szCs w:val="20"/>
              </w:rPr>
            </w:pPr>
            <w:r>
              <w:rPr/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ru-RU" w:eastAsia="ru-RU" w:bidi="ar-SA"/>
              </w:rPr>
              <w:t>ОТРЕБИТЕЛЬ:</w:t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  <w:p>
            <w:pPr>
              <w:pStyle w:val="ConsPlusNormal"/>
              <w:widowControl w:val="false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  <w:tab/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113" w:after="113"/>
        <w:ind w:left="0" w:right="0" w:hanging="0"/>
        <w:jc w:val="left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_____._____.___________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rFonts w:ascii="Times New Roman" w:hAnsi="Times New Roman"/>
          <w:b w:val="false"/>
          <w:bCs w:val="false"/>
          <w:color w:val="auto"/>
        </w:rPr>
        <w:t xml:space="preserve"> </w:t>
      </w:r>
      <w:r>
        <w:rPr>
          <w:rStyle w:val="Style17"/>
          <w:rFonts w:ascii="Times New Roman" w:hAnsi="Times New Roman"/>
          <w:b w:val="false"/>
          <w:bCs w:val="false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auto"/>
          <w:sz w:val="14"/>
          <w:szCs w:val="14"/>
        </w:rPr>
      </w:pPr>
      <w:r>
        <w:rPr>
          <w:rFonts w:cs="Times New Roman" w:ascii="Times New Roman" w:hAnsi="Times New Roman"/>
          <w:b/>
          <w:bCs/>
          <w:color w:val="auto"/>
          <w:sz w:val="14"/>
          <w:szCs w:val="14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rFonts w:ascii="Times New Roman" w:hAnsi="Times New Roman"/>
          <w:color w:val="auto"/>
        </w:rPr>
        <w:t xml:space="preserve"> </w:t>
      </w:r>
      <w:r>
        <w:rPr>
          <w:rStyle w:val="Style17"/>
          <w:rFonts w:ascii="Times New Roman" w:hAnsi="Times New Roman"/>
          <w:color w:val="auto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__________, № ____________, выдан:__.___.______, _______________________________________________________________, код:______-______ 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/>
          <w:b/>
          <w:bCs w:val="false"/>
          <w:color w:val="auto"/>
          <w:sz w:val="20"/>
          <w:szCs w:val="20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ab/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П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ередавая свои персональные данные путем направления заявки на заключение договора, заявления, иного обращения или любым  другим способом субъект обработки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«Спецобслуживание-Центральное» на следующих условиях: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1.  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contextualSpacing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2.  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Согласие на обработку персональных данных дается в целях: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283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3.  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Региональный оператор осуществляет обработку следующих персональных данных: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- Фамилия,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им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я,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о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тчество;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Дата и место рождения;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Номер телефона;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Адрес регистрации и фактического проживания;</w:t>
      </w:r>
    </w:p>
    <w:p>
      <w:pPr>
        <w:pStyle w:val="Normal"/>
        <w:spacing w:lineRule="auto" w:line="240" w:before="0" w:after="0"/>
        <w:ind w:left="283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- Сведения о документе удостоверяющем личность;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4.  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Основанием для обработки  персональных данных являются: Конституция Российской Федерации, Жилищный кодекс РФ, ФЗ № 152-ФЗ «О персональных данных», ФЗ № 89-ФЗ от 24.06.1998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г.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 xml:space="preserve"> (в ред. от 25.12.2018 г.)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№ 354 от 06.05.2011 года.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5.  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 2 настоящего Согласия.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6.  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rFonts w:ascii="Times New Roman" w:hAnsi="Times New Roman"/>
          <w:color w:val="000000"/>
          <w:sz w:val="20"/>
          <w:szCs w:val="20"/>
          <w:shd w:fill="auto" w:val="clear"/>
        </w:rPr>
        <w:t xml:space="preserve"> </w:t>
      </w:r>
    </w:p>
    <w:p>
      <w:pPr>
        <w:pStyle w:val="Normal"/>
        <w:spacing w:lineRule="auto" w:line="240" w:before="113" w:after="0"/>
        <w:jc w:val="both"/>
        <w:rPr>
          <w:rFonts w:ascii="Times New Roman" w:hAnsi="Times New Roman"/>
          <w:color w:val="auto"/>
          <w:sz w:val="20"/>
          <w:szCs w:val="20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auto" w:val="clear"/>
        </w:rPr>
        <w:t>7.  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</w:p>
    <w:p>
      <w:pPr>
        <w:pStyle w:val="Normal"/>
        <w:spacing w:lineRule="auto" w:line="240" w:before="113" w:after="0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0"/>
          <w:szCs w:val="20"/>
          <w:shd w:fill="auto" w:val="clear"/>
          <w:lang w:val="ru-RU" w:eastAsia="ru-RU"/>
        </w:rPr>
        <w:t>8.  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Согласие может быть отозвано суб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ъ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shd w:fill="auto" w:val="clear"/>
          <w:lang w:val="ru-RU" w:eastAsia="ru-RU"/>
        </w:rPr>
        <w:t>ектом персональных данных или его представителем путем направления в ООО «Спецобслуживание- Центральное» письменного заявления.</w:t>
      </w:r>
    </w:p>
    <w:p>
      <w:pPr>
        <w:pStyle w:val="Normal"/>
        <w:spacing w:lineRule="auto" w:line="240" w:before="0" w:after="0"/>
        <w:contextualSpacing/>
        <w:jc w:val="both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0"/>
          <w:szCs w:val="20"/>
          <w:shd w:fill="auto" w:val="clear"/>
          <w:lang w:val="ru-RU" w:eastAsia="ru-RU"/>
        </w:rPr>
      </w:pPr>
      <w:r>
        <w:rPr/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ООО «Спецобслуживание-Центральное»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659328, Алтайский край,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г.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Бийск,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пер.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Спичечный, дом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 xml:space="preserve">№ </w:t>
      </w:r>
      <w:r>
        <w:rPr>
          <w:rStyle w:val="Style17"/>
          <w:rFonts w:ascii="Times New Roman" w:hAnsi="Times New Roman"/>
          <w:b/>
          <w:color w:val="auto"/>
          <w:sz w:val="20"/>
          <w:szCs w:val="20"/>
          <w:lang w:val="ru-RU"/>
        </w:rPr>
        <w:t>5, офис 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Ответственный за обработку  ____________________________  __________________________________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8"/>
        <w:spacing w:lineRule="auto" w:line="240" w:before="0" w:after="0"/>
        <w:ind w:left="0" w:right="0" w:hanging="0"/>
        <w:contextualSpacing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Фамилия, имя, отчество  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rFonts w:ascii="Times New Roman" w:hAnsi="Times New Roman"/>
          <w:color w:val="auto"/>
          <w:sz w:val="20"/>
          <w:szCs w:val="20"/>
          <w:lang w:val="ru-RU"/>
        </w:rPr>
        <w:t>Адрес: 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____.____.___________, ____________________________________________________________________________________, код: _____-_____</w:t>
      </w:r>
      <w:r>
        <w:rPr>
          <w:rStyle w:val="Style17"/>
          <w:rFonts w:ascii="Times New Roman" w:hAnsi="Times New Roman"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9.  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 8 настоящего Соглашения.</w:t>
      </w:r>
      <w:r>
        <w:rPr>
          <w:rFonts w:ascii="Times New Roman" w:hAnsi="Times New Roman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none"/>
          <w:lang w:val="ru-RU" w:eastAsia="ru-RU"/>
        </w:rPr>
        <w:t>___________________________________ / ______________________________________________ 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cc"/>
    <w:family w:val="roman"/>
    <w:pitch w:val="variable"/>
  </w:font>
  <w:font w:name="Courier New">
    <w:charset w:val="cc"/>
    <w:family w:val="roman"/>
    <w:pitch w:val="variable"/>
  </w:font>
  <w:font w:name="Wingdings">
    <w:altName w:val="Webdings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0"/>
        <w:shd w:fill="808000" w:val="clear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fals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shd w:fill="808000" w:val="clea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false"/>
      <w:autoSpaceDE w:val="true"/>
      <w:bidi w:val="0"/>
      <w:spacing w:lineRule="atLeast" w:line="100" w:before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kinsoku w:val="true"/>
      <w:overflowPunct w:val="false"/>
      <w:autoSpaceDE w:val="true"/>
      <w:bidi w:val="0"/>
      <w:spacing w:lineRule="atLeast" w:line="100" w:before="0" w:after="0"/>
      <w:ind w:left="0" w:right="0" w:hanging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mailto:abon.biysk@spo-center.ru" TargetMode="External"/><Relationship Id="rId13" Type="http://schemas.openxmlformats.org/officeDocument/2006/relationships/hyperlink" Target="mailto:info@spo-center.ru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http://spo-center.ru/" TargetMode="External"/><Relationship Id="rId19" Type="http://schemas.openxmlformats.org/officeDocument/2006/relationships/hyperlink" Target="http://spo-center.ru/" TargetMode="External"/><Relationship Id="rId20" Type="http://schemas.openxmlformats.org/officeDocument/2006/relationships/hyperlink" Target="http://spo-center.ru/" TargetMode="External"/><Relationship Id="rId21" Type="http://schemas.openxmlformats.org/officeDocument/2006/relationships/hyperlink" Target="mailto:abon.biysk@spo-center.ru" TargetMode="External"/><Relationship Id="rId22" Type="http://schemas.openxmlformats.org/officeDocument/2006/relationships/hyperlink" Target="mailto:info@spo-center.ru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hyperlink" Target="http://spo-center.ru/" TargetMode="External"/><Relationship Id="rId29" Type="http://schemas.openxmlformats.org/officeDocument/2006/relationships/hyperlink" Target="http://spo-center.ru/" TargetMode="External"/><Relationship Id="rId30" Type="http://schemas.openxmlformats.org/officeDocument/2006/relationships/hyperlink" Target="mailto:abon.biysk@spo-center.ru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1312</TotalTime>
  <Application>LibreOffice/7.0.0.3$Windows_X86_64 LibreOffice_project/8061b3e9204bef6b321a21033174034a5e2ea88e</Application>
  <Pages>8</Pages>
  <Words>3164</Words>
  <Characters>23329</Characters>
  <CharactersWithSpaces>26394</CharactersWithSpaces>
  <Paragraphs>228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2019-10-24T14:00:46Z</cp:lastPrinted>
  <dcterms:modified xsi:type="dcterms:W3CDTF">2020-08-27T10:43:28Z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