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Форма утверждена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постановлением Правительства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Российской Федерации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от 12 ноября 2016 г. N 1156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ТИПОВОЙ ДОГОВОР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на оказание 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г. Бийск </w:t>
        <w:tab/>
        <w:t xml:space="preserve"> </w:t>
        <w:tab/>
        <w:t xml:space="preserve">               </w:t>
        <w:tab/>
        <w:t xml:space="preserve"> </w:t>
        <w:tab/>
        <w:t xml:space="preserve">                                                                               ____.____._________ г.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Общество с ограниченной ответственностью «Спецобслуживание – Центральное», именуемое в дальнейшем региональным оператором, в лице директора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Щербатова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Алексея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Викторовича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, действующего на основании Устава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и Соглаше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ния № ____________ от _______________ г.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 организации деятельности по обращению с твердыми коммунальными отходами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val="ru-RU" w:eastAsia="ru-RU" w:bidi="ar-SA"/>
        </w:rPr>
        <w:t>Заринская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зона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тайского края, заключенного с Министерством строительства, транспорта, жилищно-коммунального хозяйства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 xml:space="preserve">Алтайского края по результатам конкурсного отбора (далее — Соглашение), с одной стороны, и 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_____________________________________________________, именуемый в дальнейшем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ru-RU"/>
        </w:rPr>
        <w:t>потребителем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паспорт: серия _______, №_______________, выдан: __.___.________, ___________________________________________ __________________________________, код: _____________________,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действующий на основании гражданского законодательства с другой стороны, именуемые в дальнейшем сторонами, заключили настоящий договор о нижеследующем:</w:t>
      </w:r>
      <w:r>
        <w:rPr>
          <w:rFonts w:eastAsia="Times New Roman"/>
          <w:color w:val="auto"/>
          <w:sz w:val="20"/>
          <w:szCs w:val="20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Предмет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приложению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договору.</w:t>
      </w:r>
      <w:r>
        <w:rPr>
          <w:color w:val="auto"/>
        </w:rPr>
        <w:t xml:space="preserve"> 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3. Способ складирования твердых коммунальных отходов — </w:t>
      </w:r>
      <w:r>
        <w:rPr>
          <w:rFonts w:ascii="Times New Roman" w:hAnsi="Times New Roman"/>
          <w:color w:val="auto"/>
          <w:sz w:val="20"/>
          <w:szCs w:val="20"/>
        </w:rPr>
        <w:t>_____________________,</w:t>
      </w:r>
      <w:r>
        <w:rPr>
          <w:rFonts w:ascii="Times New Roman" w:hAnsi="Times New Roman"/>
          <w:color w:val="auto"/>
          <w:sz w:val="20"/>
          <w:szCs w:val="20"/>
        </w:rPr>
        <w:t xml:space="preserve"> в том числе крупногабаритных отходов - </w:t>
      </w:r>
      <w:r>
        <w:rPr>
          <w:rFonts w:cs="Times New Roman" w:ascii="Times New Roman" w:hAnsi="Times New Roman"/>
          <w:color w:val="auto"/>
          <w:sz w:val="20"/>
          <w:szCs w:val="20"/>
        </w:rPr>
        <w:t>на специальных площадках для складирования крупногабаритных отходов.</w:t>
      </w:r>
      <w:r>
        <w:rPr>
          <w:color w:val="auto"/>
          <w:sz w:val="20"/>
          <w:szCs w:val="20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Дата начала оказания услуг по обращению с твердыми коммунальными отходами </w:t>
      </w:r>
      <w:r>
        <w:rPr>
          <w:color w:val="auto"/>
          <w:sz w:val="20"/>
          <w:szCs w:val="20"/>
        </w:rPr>
        <w:t>01</w:t>
      </w:r>
      <w:r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01</w:t>
      </w:r>
      <w:r>
        <w:rPr>
          <w:color w:val="auto"/>
          <w:sz w:val="20"/>
          <w:szCs w:val="20"/>
        </w:rPr>
        <w:t>.201</w:t>
      </w:r>
      <w:r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г.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Сроки и порядок оплаты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</w:t>
      </w:r>
      <w:r>
        <w:rPr>
          <w:rFonts w:ascii="Times New Roman" w:hAnsi="Times New Roman"/>
          <w:color w:val="auto"/>
          <w:sz w:val="20"/>
          <w:szCs w:val="20"/>
        </w:rPr>
        <w:t xml:space="preserve">и утвержденных норм накопления твердых коммунальных отходов (298,55 руб. за 1 куб.м., </w:t>
      </w:r>
      <w:r>
        <w:rPr>
          <w:rFonts w:ascii="Times New Roman" w:hAnsi="Times New Roman"/>
          <w:color w:val="auto"/>
          <w:sz w:val="20"/>
          <w:szCs w:val="20"/>
        </w:rPr>
        <w:t>с учетом НДС</w:t>
      </w:r>
      <w:r>
        <w:rPr>
          <w:rFonts w:ascii="Times New Roman" w:hAnsi="Times New Roman"/>
          <w:color w:val="auto"/>
          <w:sz w:val="20"/>
          <w:szCs w:val="20"/>
        </w:rPr>
        <w:t xml:space="preserve"> (на дату начала оказания услуг)*0,121куб.м. на 1 </w:t>
      </w:r>
      <w:r>
        <w:rPr>
          <w:rFonts w:ascii="Times New Roman" w:hAnsi="Times New Roman"/>
          <w:color w:val="auto"/>
          <w:sz w:val="20"/>
          <w:szCs w:val="20"/>
        </w:rPr>
        <w:t>проживающего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(н</w:t>
      </w:r>
      <w:r>
        <w:rPr>
          <w:rFonts w:ascii="Times New Roman" w:hAnsi="Times New Roman"/>
          <w:color w:val="auto"/>
          <w:sz w:val="20"/>
          <w:szCs w:val="20"/>
        </w:rPr>
        <w:t xml:space="preserve">орматив накопления твёрдых коммунальных отходов на территории Алтайского края для потребителей услуги по обращению с отходами, </w:t>
      </w:r>
      <w:r>
        <w:rPr>
          <w:rFonts w:ascii="Times New Roman" w:hAnsi="Times New Roman"/>
          <w:color w:val="auto"/>
          <w:sz w:val="20"/>
          <w:szCs w:val="20"/>
        </w:rPr>
        <w:t>за исключение</w:t>
      </w:r>
      <w:r>
        <w:rPr>
          <w:rFonts w:ascii="Times New Roman" w:hAnsi="Times New Roman"/>
          <w:color w:val="auto"/>
          <w:sz w:val="20"/>
          <w:szCs w:val="20"/>
        </w:rPr>
        <w:t>м</w:t>
      </w:r>
      <w:r>
        <w:rPr>
          <w:rFonts w:ascii="Times New Roman" w:hAnsi="Times New Roman"/>
          <w:color w:val="auto"/>
          <w:sz w:val="20"/>
          <w:szCs w:val="20"/>
        </w:rPr>
        <w:t xml:space="preserve"> г.Барнаула)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 отсутствии постоянно либо временно проживающих потребителей в жилом помещении,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пункт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148 (36)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 утв. Постановлением Правительства РФ от 06.05.2011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354</w:t>
      </w:r>
      <w:r>
        <w:rPr>
          <w:rFonts w:ascii="Times New Roman" w:hAnsi="Times New Roman"/>
          <w:color w:val="auto"/>
          <w:sz w:val="20"/>
          <w:szCs w:val="20"/>
        </w:rPr>
        <w:t>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действие нового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потребителей путем размещения на официальном сайте регионального оператора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0"/>
            <w:szCs w:val="20"/>
            <w:lang w:val="en-US"/>
          </w:rPr>
          <w:t>http://spo-center.ru</w:t>
        </w:r>
      </w:hyperlink>
      <w:hyperlink r:id="rId3">
        <w:r>
          <w:rPr>
            <w:rStyle w:val="Style14"/>
            <w:color w:val="auto"/>
            <w:sz w:val="20"/>
            <w:szCs w:val="20"/>
          </w:rPr>
          <w:t xml:space="preserve"> </w:t>
        </w:r>
      </w:hyperlink>
      <w:r>
        <w:rPr>
          <w:rFonts w:cs="Times New Roman" w:ascii="Times New Roman" w:hAnsi="Times New Roman"/>
          <w:color w:val="auto"/>
          <w:sz w:val="20"/>
          <w:szCs w:val="20"/>
          <w:lang w:val="ru-RU"/>
        </w:rPr>
        <w:t xml:space="preserve">или любым доступным способом (размещение в СМИ, </w:t>
      </w:r>
      <w:r>
        <w:rPr>
          <w:rFonts w:cs="Times New Roman" w:ascii="Times New Roman" w:hAnsi="Times New Roman"/>
          <w:color w:val="auto"/>
          <w:sz w:val="20"/>
          <w:szCs w:val="20"/>
        </w:rPr>
        <w:t>в платежных документах и др.)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  <w:r>
        <w:rPr>
          <w:color w:val="auto"/>
          <w:sz w:val="20"/>
          <w:szCs w:val="20"/>
        </w:rPr>
        <w:t xml:space="preserve">                                            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осуществлении платы Потребитель обязан указывать номер лицевого счета указанный в платежном документе (квитанции).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</w:t>
      </w:r>
      <w:r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 xml:space="preserve">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Перерасчет размера платы за услугу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>. Права и обязанности сторон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>. Региональный оператор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приложении</w:t>
        </w:r>
      </w:hyperlink>
      <w:r>
        <w:rPr>
          <w:rStyle w:val="Style14"/>
          <w:color w:val="auto"/>
          <w:sz w:val="20"/>
          <w:szCs w:val="20"/>
          <w:u w:val="none"/>
        </w:rPr>
        <w:t xml:space="preserve"> </w:t>
      </w:r>
      <w:r>
        <w:rPr>
          <w:color w:val="auto"/>
          <w:sz w:val="20"/>
          <w:szCs w:val="20"/>
        </w:rPr>
        <w:t>к настоящему договору;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>. Региональный оператор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требовать от потребителя оплаты оказанных по настоящему договору услуг в объемах и в сроках, указанных в настоящем договоре, а также уплаты неустоек (штрафов, пеней);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 начисления платы за коммунальную услугу по обращению с твердыми коммунальными отходами, подготовки и доставки платежных документов потребителям;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</w:t>
      </w:r>
      <w:r>
        <w:rPr>
          <w:color w:val="auto"/>
          <w:sz w:val="20"/>
          <w:szCs w:val="20"/>
        </w:rPr>
        <w:t>осуществлять обработку персональных данных потребителя;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</w:t>
      </w:r>
      <w:r>
        <w:rPr>
          <w:color w:val="auto"/>
          <w:sz w:val="20"/>
          <w:szCs w:val="20"/>
        </w:rPr>
        <w:t>. Потребитель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  <w:r>
        <w:rPr>
          <w:color w:val="auto"/>
          <w:sz w:val="20"/>
          <w:szCs w:val="20"/>
        </w:rPr>
        <w:t>не допускать складирования в контейнерах (объемом до 1,1 куб.м.) крупногабаритных отходов, обрезков деревьев, веток, опавшей листвы, металлолома, песка, земли, прочих отходов не относящихся к твердым коммунальным;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е)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способом, позволяющим подтвердить его получение адресатом</w:t>
      </w:r>
      <w:r>
        <w:rPr>
          <w:color w:val="auto"/>
          <w:sz w:val="20"/>
          <w:szCs w:val="20"/>
        </w:rPr>
        <w:t>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 </w:t>
      </w:r>
      <w:r>
        <w:rPr>
          <w:color w:val="auto"/>
          <w:sz w:val="20"/>
          <w:szCs w:val="20"/>
        </w:rPr>
        <w:t>не позднее 5 (пяти) рабочих дней, со дня наступления таких изменений;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нести иные обязанности, предусмотренные действующим законодательством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</w:t>
      </w:r>
      <w:r>
        <w:rPr>
          <w:color w:val="auto"/>
          <w:sz w:val="20"/>
          <w:szCs w:val="20"/>
        </w:rPr>
        <w:t>. Потребитель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V. Порядок осуществления учета объема и (или) массы твердых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коммунальных отходов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14</w:t>
      </w:r>
      <w:r>
        <w:rPr>
          <w:rFonts w:ascii="Times New Roman" w:hAnsi="Times New Roman"/>
          <w:color w:val="auto"/>
          <w:sz w:val="20"/>
          <w:szCs w:val="20"/>
        </w:rPr>
        <w:t>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  расчетным путем исходя из нормативов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Порядок фиксации нарушений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</w:rPr>
        <w:t>. Акт должен содержать: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  <w:lang w:val="en-US"/>
        </w:rPr>
        <w:t>9</w:t>
      </w:r>
      <w:r>
        <w:rPr>
          <w:color w:val="auto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Ответственность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20</w:t>
      </w:r>
      <w:r>
        <w:rPr>
          <w:color w:val="auto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 xml:space="preserve">. В случае неисполнения, либо ненадлежащего исполнения, потребителем обязательств по оплате настоящего договора, региональный оператор вправе потребовать от потребителя уплаты </w:t>
      </w:r>
      <w:r>
        <w:rPr>
          <w:color w:val="auto"/>
          <w:sz w:val="20"/>
          <w:szCs w:val="20"/>
        </w:rPr>
        <w:t>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numPr>
          <w:ilvl w:val="1"/>
          <w:numId w:val="2"/>
        </w:numPr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перемещение Потребителем контейнеров с места первичного накопления отходов;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возгорание отходов в контейнерах;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техническая неисправность контейнера.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Обстоятельства непреодолимой силы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</w:rPr>
      </w:pPr>
      <w:r>
        <w:rPr>
          <w:color w:val="auto"/>
          <w:sz w:val="20"/>
          <w:szCs w:val="20"/>
          <w:lang w:val="en-US"/>
        </w:rPr>
        <w:t>VIII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  <w:lang w:val="ru-RU"/>
        </w:rPr>
        <w:t>Конфиденциальность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  <w:lang w:val="ru-RU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использования настоящего договора.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  <w:lang w:val="ru-RU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  <w:lang w:val="ru-RU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расчетно-кассовых организаций, почтовой связи или служб доставки. В платежном документе указываются: адрес, наименование (ФИО) Потребителя, номер лицевого счета, расчет ежемесячной стоимости оказанных услуг.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X. Действие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val="en-US"/>
        </w:rPr>
        <w:t>2</w:t>
      </w:r>
      <w:r>
        <w:rPr>
          <w:rFonts w:ascii="Times New Roman" w:hAnsi="Times New Roman"/>
          <w:color w:val="auto"/>
          <w:sz w:val="20"/>
          <w:szCs w:val="20"/>
          <w:lang w:val="en-US"/>
        </w:rPr>
        <w:t>9</w:t>
      </w:r>
      <w:r>
        <w:rPr>
          <w:rFonts w:ascii="Times New Roman" w:hAnsi="Times New Roman"/>
          <w:color w:val="auto"/>
          <w:sz w:val="20"/>
          <w:szCs w:val="20"/>
        </w:rPr>
        <w:t xml:space="preserve">. Настоящий договор заключается на срок _____ до 22.05.2021 г. </w:t>
      </w:r>
      <w:r>
        <w:rPr>
          <w:rFonts w:ascii="Times New Roman" w:hAnsi="Times New Roman"/>
          <w:color w:val="auto"/>
          <w:sz w:val="20"/>
          <w:szCs w:val="20"/>
        </w:rPr>
        <w:t>Договор заключается сроком на период действия соглашения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30</w:t>
      </w:r>
      <w:r>
        <w:rPr>
          <w:color w:val="auto"/>
          <w:sz w:val="20"/>
          <w:szCs w:val="20"/>
        </w:rPr>
        <w:t xml:space="preserve">.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В случае,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настоящего соглашения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X. Прочие условия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Настоящий договор составлен в 2 экземплярах, имеющих равную юридическую силу.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/>
      </w:pPr>
      <w:r>
        <w:rPr>
          <w:rStyle w:val="Style14"/>
          <w:color w:val="auto"/>
          <w:sz w:val="20"/>
          <w:szCs w:val="20"/>
          <w:u w:val="none"/>
        </w:rPr>
        <w:t xml:space="preserve">     </w:t>
      </w:r>
      <w:r>
        <w:rPr>
          <w:rStyle w:val="Style14"/>
          <w:color w:val="auto"/>
          <w:sz w:val="20"/>
          <w:szCs w:val="20"/>
          <w:u w:val="none"/>
          <w:lang w:val="en-US"/>
        </w:rPr>
        <w:t>35</w:t>
      </w:r>
      <w:r>
        <w:rPr>
          <w:rStyle w:val="Style14"/>
          <w:color w:val="auto"/>
          <w:sz w:val="20"/>
          <w:szCs w:val="20"/>
          <w:u w:val="none"/>
        </w:rPr>
        <w:t xml:space="preserve">.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Приложение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 является его неотъемлемой частью.</w:t>
      </w:r>
      <w:r>
        <w:rPr>
          <w:color w:val="auto"/>
        </w:rPr>
        <w:t xml:space="preserve"> 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5">
              <w:r>
                <w:rPr>
                  <w:rStyle w:val="Style14"/>
                </w:rPr>
                <w:t xml:space="preserve"> </w:t>
              </w:r>
            </w:hyperlink>
            <w:hyperlink r:id="rId6">
              <w:r>
                <w:rPr>
                  <w:rStyle w:val="Style14"/>
                </w:rPr>
                <w:t>://</w:t>
              </w:r>
            </w:hyperlink>
            <w:hyperlink r:id="rId7">
              <w:r>
                <w:rPr>
                  <w:rStyle w:val="Style14"/>
                </w:rPr>
                <w:t xml:space="preserve"> </w:t>
              </w:r>
            </w:hyperlink>
            <w:hyperlink r:id="rId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9">
              <w:r>
                <w:rPr>
                  <w:rStyle w:val="Style14"/>
                </w:rPr>
                <w:t xml:space="preserve"> </w:t>
              </w:r>
            </w:hyperlink>
            <w:hyperlink r:id="rId10">
              <w:r>
                <w:rPr>
                  <w:rStyle w:val="Style14"/>
                </w:rPr>
                <w:t>-</w:t>
              </w:r>
            </w:hyperlink>
            <w:hyperlink r:id="rId11">
              <w:r>
                <w:rPr>
                  <w:rStyle w:val="Style14"/>
                </w:rPr>
                <w:t xml:space="preserve"> </w:t>
              </w:r>
            </w:hyperlink>
            <w:hyperlink r:id="rId1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3">
              <w:r>
                <w:rPr>
                  <w:rStyle w:val="Style14"/>
                </w:rPr>
                <w:t xml:space="preserve"> </w:t>
              </w:r>
            </w:hyperlink>
            <w:hyperlink r:id="rId14">
              <w:r>
                <w:rPr>
                  <w:rStyle w:val="Style14"/>
                </w:rPr>
                <w:t>.</w:t>
              </w:r>
            </w:hyperlink>
            <w:hyperlink r:id="rId15">
              <w:r>
                <w:rPr>
                  <w:rStyle w:val="Style14"/>
                </w:rPr>
                <w:t xml:space="preserve"> </w:t>
              </w:r>
            </w:hyperlink>
            <w:hyperlink r:id="rId1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17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  <w:lang w:val="ru-RU"/>
              </w:rPr>
              <w:t>Заринск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С</w:t>
            </w:r>
            <w:r>
              <w:rPr>
                <w:color w:val="auto"/>
                <w:sz w:val="20"/>
                <w:szCs w:val="20"/>
              </w:rPr>
              <w:t>троителей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д.18/, каб208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ru-RU"/>
              </w:rPr>
              <w:t>95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>99-018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>abon.</w:t>
            </w: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>zarinsk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@spo-center.ru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ИНФОРМАЦИЯ ПО ПРЕДМЕТУ ДОГОВОРА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I. Объем и место сбора и накопления твердых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коммунальных отходов</w:t>
      </w:r>
    </w:p>
    <w:tbl>
      <w:tblPr>
        <w:tblW w:w="1024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808"/>
        <w:gridCol w:w="1881"/>
        <w:gridCol w:w="1880"/>
        <w:gridCol w:w="2350"/>
        <w:gridCol w:w="1922"/>
      </w:tblGrid>
      <w:tr>
        <w:trPr>
          <w:trHeight w:val="1477" w:hRule="atLeast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N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>
        <w:trPr/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19">
              <w:r>
                <w:rPr>
                  <w:rStyle w:val="Style14"/>
                </w:rPr>
                <w:t xml:space="preserve"> </w:t>
              </w:r>
            </w:hyperlink>
            <w:hyperlink r:id="rId20">
              <w:r>
                <w:rPr>
                  <w:rStyle w:val="Style14"/>
                </w:rPr>
                <w:t>://</w:t>
              </w:r>
            </w:hyperlink>
            <w:hyperlink r:id="rId21">
              <w:r>
                <w:rPr>
                  <w:rStyle w:val="Style14"/>
                </w:rPr>
                <w:t xml:space="preserve"> </w:t>
              </w:r>
            </w:hyperlink>
            <w:hyperlink r:id="rId2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23">
              <w:r>
                <w:rPr>
                  <w:rStyle w:val="Style14"/>
                </w:rPr>
                <w:t xml:space="preserve"> </w:t>
              </w:r>
            </w:hyperlink>
            <w:hyperlink r:id="rId24">
              <w:r>
                <w:rPr>
                  <w:rStyle w:val="Style14"/>
                </w:rPr>
                <w:t>-</w:t>
              </w:r>
            </w:hyperlink>
            <w:hyperlink r:id="rId25">
              <w:r>
                <w:rPr>
                  <w:rStyle w:val="Style14"/>
                </w:rPr>
                <w:t xml:space="preserve"> </w:t>
              </w:r>
            </w:hyperlink>
            <w:hyperlink r:id="rId2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27">
              <w:r>
                <w:rPr>
                  <w:rStyle w:val="Style14"/>
                </w:rPr>
                <w:t xml:space="preserve"> </w:t>
              </w:r>
            </w:hyperlink>
            <w:hyperlink r:id="rId28">
              <w:r>
                <w:rPr>
                  <w:rStyle w:val="Style14"/>
                </w:rPr>
                <w:t>.</w:t>
              </w:r>
            </w:hyperlink>
            <w:hyperlink r:id="rId29">
              <w:r>
                <w:rPr>
                  <w:rStyle w:val="Style14"/>
                </w:rPr>
                <w:t xml:space="preserve"> </w:t>
              </w:r>
            </w:hyperlink>
            <w:hyperlink r:id="rId3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31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  <w:lang w:val="ru-RU"/>
              </w:rPr>
              <w:t>Заринск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С</w:t>
            </w:r>
            <w:r>
              <w:rPr>
                <w:color w:val="auto"/>
                <w:sz w:val="20"/>
                <w:szCs w:val="20"/>
              </w:rPr>
              <w:t>троителей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д.18/, каб208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ru-RU"/>
              </w:rPr>
              <w:t>95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>99-018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>abon.</w:t>
            </w: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>zarinsk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@spo-center.ru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Количество зарегистрированных жильцов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tbl>
      <w:tblPr>
        <w:tblW w:w="102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3525"/>
        <w:gridCol w:w="1530"/>
        <w:gridCol w:w="2265"/>
        <w:gridCol w:w="2655"/>
      </w:tblGrid>
      <w:tr>
        <w:trPr/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Серия, № паспорта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Адрес Прописки</w:t>
            </w:r>
          </w:p>
        </w:tc>
      </w:tr>
      <w:tr>
        <w:trPr>
          <w:trHeight w:val="3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393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0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3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33">
              <w:r>
                <w:rPr>
                  <w:rStyle w:val="Style14"/>
                </w:rPr>
                <w:t xml:space="preserve"> </w:t>
              </w:r>
            </w:hyperlink>
            <w:hyperlink r:id="rId34">
              <w:r>
                <w:rPr>
                  <w:rStyle w:val="Style14"/>
                </w:rPr>
                <w:t>://</w:t>
              </w:r>
            </w:hyperlink>
            <w:hyperlink r:id="rId35">
              <w:r>
                <w:rPr>
                  <w:rStyle w:val="Style14"/>
                </w:rPr>
                <w:t xml:space="preserve"> </w:t>
              </w:r>
            </w:hyperlink>
            <w:hyperlink r:id="rId3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37">
              <w:r>
                <w:rPr>
                  <w:rStyle w:val="Style14"/>
                </w:rPr>
                <w:t xml:space="preserve"> </w:t>
              </w:r>
            </w:hyperlink>
            <w:hyperlink r:id="rId38">
              <w:r>
                <w:rPr>
                  <w:rStyle w:val="Style14"/>
                </w:rPr>
                <w:t>-</w:t>
              </w:r>
            </w:hyperlink>
            <w:hyperlink r:id="rId39">
              <w:r>
                <w:rPr>
                  <w:rStyle w:val="Style14"/>
                </w:rPr>
                <w:t xml:space="preserve"> </w:t>
              </w:r>
            </w:hyperlink>
            <w:hyperlink r:id="rId4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41">
              <w:r>
                <w:rPr>
                  <w:rStyle w:val="Style14"/>
                </w:rPr>
                <w:t xml:space="preserve"> </w:t>
              </w:r>
            </w:hyperlink>
            <w:hyperlink r:id="rId42">
              <w:r>
                <w:rPr>
                  <w:rStyle w:val="Style14"/>
                </w:rPr>
                <w:t>.</w:t>
              </w:r>
            </w:hyperlink>
            <w:hyperlink r:id="rId43">
              <w:r>
                <w:rPr>
                  <w:rStyle w:val="Style14"/>
                </w:rPr>
                <w:t xml:space="preserve"> </w:t>
              </w:r>
            </w:hyperlink>
            <w:hyperlink r:id="rId4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45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  <w:lang w:val="ru-RU"/>
              </w:rPr>
              <w:t>Заринск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С</w:t>
            </w:r>
            <w:r>
              <w:rPr>
                <w:color w:val="auto"/>
                <w:sz w:val="20"/>
                <w:szCs w:val="20"/>
              </w:rPr>
              <w:t>троителей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д.18/, каб208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ru-RU"/>
              </w:rPr>
              <w:t>95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>99-018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>abon.</w:t>
            </w: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>zarinsk</w:t>
            </w:r>
            <w:r>
              <w:rPr>
                <w:rStyle w:val="Style14"/>
                <w:color w:val="auto"/>
                <w:sz w:val="20"/>
                <w:szCs w:val="20"/>
              </w:rPr>
              <w:t xml:space="preserve">@spo-center.ru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СОГЛАСИЕ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субъекта персональных данных на обработку своих персональных данных</w:t>
      </w:r>
    </w:p>
    <w:p>
      <w:pPr>
        <w:pStyle w:val="Style26"/>
        <w:tabs>
          <w:tab w:val="clear" w:pos="9127"/>
          <w:tab w:val="right" w:pos="10485" w:leader="none"/>
        </w:tabs>
        <w:spacing w:lineRule="auto" w:line="240" w:before="0" w:after="0"/>
        <w:ind w:left="0" w:right="0" w:firstLine="283"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___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.___.________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г.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ФИО.:</w:t>
      </w:r>
      <w:r>
        <w:rPr>
          <w:color w:val="auto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________________________________________________________________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Адрес:</w:t>
      </w:r>
      <w:r>
        <w:rPr>
          <w:color w:val="auto"/>
        </w:rPr>
        <w:t xml:space="preserve"> </w:t>
      </w:r>
      <w:r>
        <w:rPr>
          <w:rStyle w:val="Style17"/>
          <w:color w:val="auto"/>
        </w:rPr>
        <w:t>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Документ удостоверяющий личность: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 xml:space="preserve">серия _______, № _________, выдан:__.___.______, _______________________________________________________________, код:___-____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передавая свои персональные данные путем направления заявки на  заключение договора, заявления, иного обращения или любым  другим способом субъект обработки 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«Спецобслуживание - Центральное» на следующих условиях: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1.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Данное Согласие дается на обработку персональных данных как без, так и с использованием средств автоматизации;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на обработку персональных данных дается в целях: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«Спецобслуживание - Центральное» или третьих лиц;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Региональный оператор осуществляет обработку следующих персональных данных: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 Фамилия Имя Отчество;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-Дата и место рождения;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-Номер телефона;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-Адрес регистрации и фактического проживания;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-Сведения о документе удостоверяющем личность;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Основанием для обработки  персональных данных  являются: Конституция Российской Федерации, Жилищный кодекс РФ, ФЗ № 152-ФЗ «О персональных данных»,  ФЗ  №89-ФЗ от 24.06.1998  (в ред. от 25.12.2018 года)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 № 354 от 06.05.2011 года.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5.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ходе обработки с персональными данными будут совершены следующие действия: сбор, запись, 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 2 настоящего Согласия.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6.  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рамках исполнения договора заключенного с Региональным оператором ООО «Спецобслуживание- Центральное», передача персональных данных третьим лицам осуществляется на основании законодательства РФ.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может быть отозвано суб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ъ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ектом персональных данных или его представителем путем направления в ООО «Спецобслуживание - Центральное» письменного заявления.</w:t>
      </w:r>
      <w:r>
        <w:rPr>
          <w:color w:val="auto"/>
        </w:rPr>
        <w:t xml:space="preserve"> 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Данные об операторе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Наименование организации </w:t>
      </w:r>
      <w:r>
        <w:rPr>
          <w:rStyle w:val="Style17"/>
          <w:b/>
          <w:color w:val="auto"/>
          <w:sz w:val="20"/>
          <w:szCs w:val="20"/>
          <w:lang w:val="ru-RU"/>
        </w:rPr>
        <w:t>ООО «Спецобслуживание-Центральное»</w:t>
      </w:r>
      <w:r>
        <w:rPr>
          <w:rStyle w:val="Style17"/>
          <w:color w:val="auto"/>
        </w:rPr>
        <w:t xml:space="preserve"> 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Адрес оператора </w:t>
      </w:r>
      <w:r>
        <w:rPr>
          <w:rStyle w:val="Style17"/>
          <w:b/>
          <w:color w:val="auto"/>
          <w:sz w:val="20"/>
          <w:szCs w:val="20"/>
          <w:lang w:val="ru-RU"/>
        </w:rPr>
        <w:t xml:space="preserve">659328, Алтайский край, Бийск г, Спичечный пер, дом № 5, офис </w:t>
      </w:r>
      <w:r>
        <w:rPr>
          <w:rStyle w:val="Style17"/>
          <w:b/>
          <w:color w:val="auto"/>
          <w:sz w:val="20"/>
          <w:szCs w:val="20"/>
          <w:lang w:val="ru-RU"/>
        </w:rPr>
        <w:t>3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Ответственный за обработку    _________________________          _______________________________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Субъект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Фамилия, имя, отчество  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Адрес: _____________________________________________________________________________________________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jc w:val="left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/>
        </w:rPr>
        <w:t xml:space="preserve">Паспортные данные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>серия _______, № ____________, выдан: ___.___.__________,  ____________________________________________________________________________________, код: _____-_____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9.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Настоящее Согласие действует бессрочно до момента прекращения обработки персональных данных по причине указанной в п. 8 настоящего Соглашения.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Style29"/>
        <w:shd w:fill="FFFFFF" w:val="clear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0" w:right="0" w:firstLine="283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 xml:space="preserve">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ab/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u w:val="single"/>
          <w:lang w:val="ru-RU" w:eastAsia="ru-RU"/>
        </w:rPr>
        <w:t xml:space="preserve">/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_________________________/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altName w:val="SymbolProp BT"/>
    <w:charset w:val="02"/>
    <w:family w:val="roman"/>
    <w:pitch w:val="variable"/>
  </w:font>
  <w:font w:name="Courier New">
    <w:charset w:val="cc"/>
    <w:family w:val="modern"/>
    <w:pitch w:val="fixed"/>
  </w:font>
  <w:font w:name="Wingdings">
    <w:altName w:val="Webdings"/>
    <w:charset w:val="02"/>
    <w:family w:val="auto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  <w:highlight w:val="darkYellow"/>
        <w:szCs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CharLFO4LVL1">
    <w:name w:val="WW_CharLFO4LVL1"/>
    <w:qFormat/>
    <w:rPr>
      <w:rFonts w:ascii="Symbol;SymbolProp BT" w:hAnsi="Symbol;SymbolProp BT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;Webdings" w:hAnsi="Wingdings;Webdings"/>
    </w:rPr>
  </w:style>
  <w:style w:type="character" w:styleId="WWCharLFO4LVL4">
    <w:name w:val="WW_CharLFO4LVL4"/>
    <w:qFormat/>
    <w:rPr>
      <w:rFonts w:ascii="Symbol;SymbolProp BT" w:hAnsi="Symbol;SymbolProp BT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;Webdings" w:hAnsi="Wingdings;Webdings"/>
    </w:rPr>
  </w:style>
  <w:style w:type="character" w:styleId="WWCharLFO4LVL7">
    <w:name w:val="WW_CharLFO4LVL7"/>
    <w:qFormat/>
    <w:rPr>
      <w:rFonts w:ascii="Symbol;SymbolProp BT" w:hAnsi="Symbol;SymbolProp BT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;Webdings" w:hAnsi="Wingdings;Webdings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  <w:highlight w:val="darkYellow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  <w:ind w:left="0" w:right="0" w:hanging="0"/>
      <w:jc w:val="left"/>
    </w:pPr>
    <w:rPr>
      <w:rFonts w:ascii="Times New Roman" w:hAnsi="Times New Roman" w:eastAsia="SimSun" w:cs="Times New Roman"/>
      <w:color w:val="auto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  <w:ind w:left="0" w:right="0" w:hanging="0"/>
      <w:jc w:val="left"/>
    </w:pPr>
    <w:rPr>
      <w:rFonts w:ascii="Courier New" w:hAnsi="Courier New" w:eastAsia="SimSun" w:cs="Courier New"/>
      <w:color w:val="auto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Style26">
    <w:name w:val="Шапка согласия"/>
    <w:basedOn w:val="Normal"/>
    <w:next w:val="Normal"/>
    <w:qFormat/>
    <w:pPr>
      <w:tabs>
        <w:tab w:val="clear" w:pos="708"/>
        <w:tab w:val="right" w:pos="9127" w:leader="none"/>
      </w:tabs>
      <w:suppressAutoHyphens w:val="true"/>
      <w:autoSpaceDE w:val="false"/>
      <w:spacing w:before="0" w:after="240"/>
      <w:ind w:left="0" w:right="0" w:hanging="0"/>
    </w:pPr>
    <w:rPr>
      <w:lang w:val="ru-RU"/>
    </w:rPr>
  </w:style>
  <w:style w:type="paragraph" w:styleId="Style27">
    <w:name w:val="Список согласия"/>
    <w:basedOn w:val="Normal"/>
    <w:qFormat/>
    <w:pPr>
      <w:numPr>
        <w:ilvl w:val="0"/>
        <w:numId w:val="1"/>
      </w:numPr>
      <w:tabs>
        <w:tab w:val="clear" w:pos="708"/>
      </w:tabs>
      <w:suppressAutoHyphens w:val="true"/>
      <w:spacing w:before="0" w:after="0"/>
      <w:ind w:left="1066" w:right="0" w:hanging="357"/>
    </w:pPr>
    <w:rPr>
      <w:lang w:val="ru-RU"/>
    </w:rPr>
  </w:style>
  <w:style w:type="paragraph" w:styleId="Style28">
    <w:name w:val="Заголовок реквизитов"/>
    <w:basedOn w:val="Normal"/>
    <w:qFormat/>
    <w:pPr>
      <w:suppressAutoHyphens w:val="true"/>
      <w:spacing w:before="360" w:after="120"/>
      <w:ind w:left="0" w:right="0" w:hanging="0"/>
    </w:pPr>
    <w:rPr/>
  </w:style>
  <w:style w:type="paragraph" w:styleId="Style29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center.ru/" TargetMode="External"/><Relationship Id="rId3" Type="http://schemas.openxmlformats.org/officeDocument/2006/relationships/hyperlink" Target="http://spo-center.ru/" TargetMode="External"/><Relationship Id="rId4" Type="http://schemas.openxmlformats.org/officeDocument/2006/relationships/hyperlink" Target="http://spo-center.ru/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hyperlink" Target="http://spo-center.ru/" TargetMode="External"/><Relationship Id="rId10" Type="http://schemas.openxmlformats.org/officeDocument/2006/relationships/hyperlink" Target="http://spo-center.ru/" TargetMode="External"/><Relationship Id="rId11" Type="http://schemas.openxmlformats.org/officeDocument/2006/relationships/hyperlink" Target="http://spo-center.ru/" TargetMode="External"/><Relationship Id="rId12" Type="http://schemas.openxmlformats.org/officeDocument/2006/relationships/hyperlink" Target="http://spo-center.ru/" TargetMode="External"/><Relationship Id="rId13" Type="http://schemas.openxmlformats.org/officeDocument/2006/relationships/hyperlink" Target="http://spo-center.ru/" TargetMode="External"/><Relationship Id="rId14" Type="http://schemas.openxmlformats.org/officeDocument/2006/relationships/hyperlink" Target="http://spo-center.ru/" TargetMode="External"/><Relationship Id="rId15" Type="http://schemas.openxmlformats.org/officeDocument/2006/relationships/hyperlink" Target="http://spo-center.ru/" TargetMode="External"/><Relationship Id="rId16" Type="http://schemas.openxmlformats.org/officeDocument/2006/relationships/hyperlink" Target="http://spo-center.ru/" TargetMode="External"/><Relationship Id="rId17" Type="http://schemas.openxmlformats.org/officeDocument/2006/relationships/hyperlink" Target="http://spo-center.ru/" TargetMode="External"/><Relationship Id="rId18" Type="http://schemas.openxmlformats.org/officeDocument/2006/relationships/hyperlink" Target="http://spo-center.ru/" TargetMode="External"/><Relationship Id="rId19" Type="http://schemas.openxmlformats.org/officeDocument/2006/relationships/hyperlink" Target="http://spo-center.ru/" TargetMode="External"/><Relationship Id="rId20" Type="http://schemas.openxmlformats.org/officeDocument/2006/relationships/hyperlink" Target="http://spo-center.ru/" TargetMode="External"/><Relationship Id="rId21" Type="http://schemas.openxmlformats.org/officeDocument/2006/relationships/hyperlink" Target="http://spo-center.ru/" TargetMode="External"/><Relationship Id="rId22" Type="http://schemas.openxmlformats.org/officeDocument/2006/relationships/hyperlink" Target="http://spo-center.ru/" TargetMode="External"/><Relationship Id="rId23" Type="http://schemas.openxmlformats.org/officeDocument/2006/relationships/hyperlink" Target="http://spo-center.ru/" TargetMode="External"/><Relationship Id="rId24" Type="http://schemas.openxmlformats.org/officeDocument/2006/relationships/hyperlink" Target="http://spo-center.ru/" TargetMode="External"/><Relationship Id="rId25" Type="http://schemas.openxmlformats.org/officeDocument/2006/relationships/hyperlink" Target="http://spo-center.ru/" TargetMode="External"/><Relationship Id="rId26" Type="http://schemas.openxmlformats.org/officeDocument/2006/relationships/hyperlink" Target="http://spo-center.ru/" TargetMode="External"/><Relationship Id="rId27" Type="http://schemas.openxmlformats.org/officeDocument/2006/relationships/hyperlink" Target="http://spo-center.ru/" TargetMode="External"/><Relationship Id="rId28" Type="http://schemas.openxmlformats.org/officeDocument/2006/relationships/hyperlink" Target="http://spo-center.ru/" TargetMode="External"/><Relationship Id="rId29" Type="http://schemas.openxmlformats.org/officeDocument/2006/relationships/hyperlink" Target="http://spo-center.ru/" TargetMode="External"/><Relationship Id="rId30" Type="http://schemas.openxmlformats.org/officeDocument/2006/relationships/hyperlink" Target="http://spo-center.ru/" TargetMode="External"/><Relationship Id="rId31" Type="http://schemas.openxmlformats.org/officeDocument/2006/relationships/hyperlink" Target="http://spo-center.ru/" TargetMode="External"/><Relationship Id="rId32" Type="http://schemas.openxmlformats.org/officeDocument/2006/relationships/hyperlink" Target="http://spo-center.ru/" TargetMode="External"/><Relationship Id="rId33" Type="http://schemas.openxmlformats.org/officeDocument/2006/relationships/hyperlink" Target="http://spo-center.ru/" TargetMode="External"/><Relationship Id="rId34" Type="http://schemas.openxmlformats.org/officeDocument/2006/relationships/hyperlink" Target="http://spo-center.ru/" TargetMode="External"/><Relationship Id="rId35" Type="http://schemas.openxmlformats.org/officeDocument/2006/relationships/hyperlink" Target="http://spo-center.ru/" TargetMode="External"/><Relationship Id="rId36" Type="http://schemas.openxmlformats.org/officeDocument/2006/relationships/hyperlink" Target="http://spo-center.ru/" TargetMode="External"/><Relationship Id="rId37" Type="http://schemas.openxmlformats.org/officeDocument/2006/relationships/hyperlink" Target="http://spo-center.ru/" TargetMode="External"/><Relationship Id="rId38" Type="http://schemas.openxmlformats.org/officeDocument/2006/relationships/hyperlink" Target="http://spo-center.ru/" TargetMode="External"/><Relationship Id="rId39" Type="http://schemas.openxmlformats.org/officeDocument/2006/relationships/hyperlink" Target="http://spo-center.ru/" TargetMode="External"/><Relationship Id="rId40" Type="http://schemas.openxmlformats.org/officeDocument/2006/relationships/hyperlink" Target="http://spo-center.ru/" TargetMode="External"/><Relationship Id="rId41" Type="http://schemas.openxmlformats.org/officeDocument/2006/relationships/hyperlink" Target="http://spo-center.ru/" TargetMode="External"/><Relationship Id="rId42" Type="http://schemas.openxmlformats.org/officeDocument/2006/relationships/hyperlink" Target="http://spo-center.ru/" TargetMode="External"/><Relationship Id="rId43" Type="http://schemas.openxmlformats.org/officeDocument/2006/relationships/hyperlink" Target="http://spo-center.ru/" TargetMode="External"/><Relationship Id="rId44" Type="http://schemas.openxmlformats.org/officeDocument/2006/relationships/hyperlink" Target="http://spo-center.ru/" TargetMode="External"/><Relationship Id="rId45" Type="http://schemas.openxmlformats.org/officeDocument/2006/relationships/hyperlink" Target="http://spo-center.ru/" TargetMode="Externa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LibreOffice/6.3.2.2$Windows_x86 LibreOffice_project/98b30e735bda24bc04ab42594c85f7fd8be07b9c</Application>
  <Pages>8</Pages>
  <Words>3146</Words>
  <Characters>22882</Characters>
  <CharactersWithSpaces>26190</CharactersWithSpaces>
  <Paragraphs>220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2018-10-16T05:43:00Z</dcterms:created>
  <dc:creator>Пользователь Windows</dc:creator>
  <dc:description/>
  <dc:language>ru-RU</dc:language>
  <cp:lastModifiedBy/>
  <cp:lastPrinted>2019-05-13T11:47:01Z</cp:lastPrinted>
  <dcterms:modified xsi:type="dcterms:W3CDTF">2019-10-31T10:35:22Z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